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70" w:rsidRDefault="00C53963" w:rsidP="007344D2">
      <w:pPr>
        <w:pStyle w:val="Heading1"/>
      </w:pPr>
      <w:bookmarkStart w:id="0" w:name="_GoBack"/>
      <w:bookmarkEnd w:id="0"/>
      <w:r>
        <w:t>Proposals for</w:t>
      </w:r>
      <w:r w:rsidR="001C5A3A">
        <w:t xml:space="preserve"> Revision of AS3850</w:t>
      </w:r>
    </w:p>
    <w:p w:rsidR="00195ADF" w:rsidRDefault="00195ADF" w:rsidP="007344D2">
      <w:pPr>
        <w:pStyle w:val="Heading2"/>
      </w:pPr>
    </w:p>
    <w:p w:rsidR="007344D2" w:rsidRDefault="007344D2" w:rsidP="007344D2">
      <w:pPr>
        <w:pStyle w:val="Heading2"/>
      </w:pPr>
      <w:r>
        <w:t>Revise Clauses</w:t>
      </w:r>
    </w:p>
    <w:p w:rsidR="000E0DDD" w:rsidRPr="00927A84" w:rsidRDefault="000E0DDD" w:rsidP="000E0DDD">
      <w:pPr>
        <w:rPr>
          <w:rFonts w:cstheme="minorHAnsi"/>
        </w:rPr>
      </w:pPr>
      <w:r w:rsidRPr="00927A84">
        <w:rPr>
          <w:rFonts w:cstheme="minorHAnsi"/>
        </w:rPr>
        <w:t xml:space="preserve">2.5.2   Typical rigging configurations </w:t>
      </w:r>
    </w:p>
    <w:p w:rsidR="000E0DDD" w:rsidRPr="00927A84" w:rsidRDefault="000E0DDD" w:rsidP="000E0DDD">
      <w:pPr>
        <w:rPr>
          <w:rFonts w:cstheme="minorHAnsi"/>
        </w:rPr>
      </w:pPr>
      <w:r w:rsidRPr="00927A84">
        <w:rPr>
          <w:rFonts w:cstheme="minorHAnsi"/>
        </w:rPr>
        <w:t xml:space="preserve">Typical rigging configurations include but are not limited to the following: </w:t>
      </w:r>
      <w:r w:rsidRPr="00927A84">
        <w:rPr>
          <w:rFonts w:cstheme="minorHAnsi"/>
          <w:color w:val="FF0000"/>
        </w:rPr>
        <w:t xml:space="preserve">(See Note 1) </w:t>
      </w:r>
    </w:p>
    <w:p w:rsidR="000E0DDD" w:rsidRPr="00927A84" w:rsidRDefault="000E0DDD" w:rsidP="000E0DDD">
      <w:pPr>
        <w:rPr>
          <w:rFonts w:cstheme="minorHAnsi"/>
        </w:rPr>
      </w:pPr>
      <w:r w:rsidRPr="00927A84">
        <w:rPr>
          <w:rFonts w:cstheme="minorHAnsi"/>
        </w:rPr>
        <w:t>(a)</w:t>
      </w:r>
      <w:r w:rsidRPr="00927A84">
        <w:rPr>
          <w:rFonts w:cstheme="minorHAnsi"/>
        </w:rPr>
        <w:tab/>
        <w:t>Flat lifting of elements.</w:t>
      </w:r>
    </w:p>
    <w:p w:rsidR="000E0DDD" w:rsidRPr="00927A84" w:rsidRDefault="000E0DDD" w:rsidP="000E0DDD">
      <w:pPr>
        <w:rPr>
          <w:rFonts w:cstheme="minorHAnsi"/>
        </w:rPr>
      </w:pPr>
      <w:r w:rsidRPr="00927A84">
        <w:rPr>
          <w:rFonts w:cstheme="minorHAnsi"/>
        </w:rPr>
        <w:t>(b)</w:t>
      </w:r>
      <w:r w:rsidRPr="00927A84">
        <w:rPr>
          <w:rFonts w:cstheme="minorHAnsi"/>
        </w:rPr>
        <w:tab/>
        <w:t>Edge lifting of elements.</w:t>
      </w:r>
    </w:p>
    <w:p w:rsidR="000E0DDD" w:rsidRPr="00927A84" w:rsidRDefault="000E0DDD" w:rsidP="000E0DDD">
      <w:pPr>
        <w:rPr>
          <w:rFonts w:cstheme="minorHAnsi"/>
        </w:rPr>
      </w:pPr>
      <w:r w:rsidRPr="00927A84">
        <w:rPr>
          <w:rFonts w:cstheme="minorHAnsi"/>
        </w:rPr>
        <w:t>(c)</w:t>
      </w:r>
      <w:r w:rsidRPr="00927A84">
        <w:rPr>
          <w:rFonts w:cstheme="minorHAnsi"/>
        </w:rPr>
        <w:tab/>
        <w:t>Face lifting of elements.</w:t>
      </w:r>
    </w:p>
    <w:p w:rsidR="000E0DDD" w:rsidRPr="00927A84" w:rsidRDefault="000E0DDD" w:rsidP="000E0DDD">
      <w:pPr>
        <w:rPr>
          <w:rFonts w:cstheme="minorHAnsi"/>
        </w:rPr>
      </w:pPr>
      <w:r w:rsidRPr="00927A84">
        <w:rPr>
          <w:rFonts w:cstheme="minorHAnsi"/>
        </w:rPr>
        <w:t>(d)</w:t>
      </w:r>
      <w:r w:rsidRPr="00927A84">
        <w:rPr>
          <w:rFonts w:cstheme="minorHAnsi"/>
        </w:rPr>
        <w:tab/>
        <w:t>Mid-air rotation of elements.</w:t>
      </w:r>
    </w:p>
    <w:p w:rsidR="000E0DDD" w:rsidRDefault="000E0DDD"/>
    <w:p w:rsidR="000E0DDD" w:rsidRDefault="000E0DDD" w:rsidP="00927A84">
      <w:pPr>
        <w:pStyle w:val="Heading3"/>
      </w:pPr>
      <w:r>
        <w:t xml:space="preserve">Revise the third paragraph </w:t>
      </w:r>
      <w:r w:rsidR="001C5A3A">
        <w:t xml:space="preserve">of 2.5.2 </w:t>
      </w:r>
      <w:r>
        <w:t>to read:</w:t>
      </w:r>
    </w:p>
    <w:p w:rsidR="0008770E" w:rsidRPr="00927A84" w:rsidRDefault="000E0DDD" w:rsidP="000E0DDD">
      <w:pPr>
        <w:pStyle w:val="B1"/>
        <w:rPr>
          <w:rFonts w:asciiTheme="minorHAnsi" w:hAnsiTheme="minorHAnsi" w:cstheme="minorHAnsi"/>
          <w:color w:val="FF0000"/>
        </w:rPr>
      </w:pPr>
      <w:r w:rsidRPr="00927A84">
        <w:rPr>
          <w:rFonts w:asciiTheme="minorHAnsi" w:hAnsiTheme="minorHAnsi" w:cstheme="minorHAnsi"/>
        </w:rPr>
        <w:t>The rigging system shall be designed to suit the spacing and layout of the lifting</w:t>
      </w:r>
      <w:r w:rsidRPr="00927A84">
        <w:rPr>
          <w:rFonts w:asciiTheme="minorHAnsi" w:hAnsiTheme="minorHAnsi" w:cstheme="minorHAnsi"/>
          <w:color w:val="auto"/>
        </w:rPr>
        <w:t xml:space="preserve"> inserts </w:t>
      </w:r>
      <w:r w:rsidRPr="00927A84">
        <w:rPr>
          <w:rFonts w:asciiTheme="minorHAnsi" w:hAnsiTheme="minorHAnsi" w:cstheme="minorHAnsi"/>
          <w:color w:val="FF0000"/>
        </w:rPr>
        <w:t xml:space="preserve">which shall be </w:t>
      </w:r>
      <w:r w:rsidR="00072C43" w:rsidRPr="00927A84">
        <w:rPr>
          <w:rFonts w:asciiTheme="minorHAnsi" w:hAnsiTheme="minorHAnsi" w:cstheme="minorHAnsi"/>
          <w:color w:val="FF0000"/>
        </w:rPr>
        <w:t xml:space="preserve">designed </w:t>
      </w:r>
      <w:r w:rsidR="00927A84">
        <w:rPr>
          <w:rFonts w:asciiTheme="minorHAnsi" w:hAnsiTheme="minorHAnsi" w:cstheme="minorHAnsi"/>
          <w:color w:val="FF0000"/>
        </w:rPr>
        <w:t xml:space="preserve">to meet </w:t>
      </w:r>
      <w:r w:rsidR="00072C43" w:rsidRPr="00927A84">
        <w:rPr>
          <w:rFonts w:asciiTheme="minorHAnsi" w:hAnsiTheme="minorHAnsi" w:cstheme="minorHAnsi"/>
          <w:color w:val="FF0000"/>
        </w:rPr>
        <w:t>the requirements of the</w:t>
      </w:r>
      <w:r w:rsidR="00FC6645" w:rsidRPr="00927A84">
        <w:rPr>
          <w:rFonts w:asciiTheme="minorHAnsi" w:hAnsiTheme="minorHAnsi" w:cstheme="minorHAnsi"/>
          <w:color w:val="FF0000"/>
        </w:rPr>
        <w:t xml:space="preserve"> handling methods,</w:t>
      </w:r>
      <w:r w:rsidR="00072C43" w:rsidRPr="00927A84">
        <w:rPr>
          <w:rFonts w:asciiTheme="minorHAnsi" w:hAnsiTheme="minorHAnsi" w:cstheme="minorHAnsi"/>
          <w:color w:val="FF0000"/>
        </w:rPr>
        <w:t xml:space="preserve"> erection plan and procedure</w:t>
      </w:r>
      <w:r w:rsidR="00EC33DD" w:rsidRPr="00927A84">
        <w:rPr>
          <w:rFonts w:asciiTheme="minorHAnsi" w:hAnsiTheme="minorHAnsi" w:cstheme="minorHAnsi"/>
          <w:color w:val="FF0000"/>
        </w:rPr>
        <w:t>s</w:t>
      </w:r>
      <w:r w:rsidR="00927A84">
        <w:rPr>
          <w:rFonts w:asciiTheme="minorHAnsi" w:hAnsiTheme="minorHAnsi" w:cstheme="minorHAnsi"/>
          <w:color w:val="FF0000"/>
        </w:rPr>
        <w:t xml:space="preserve"> </w:t>
      </w:r>
      <w:r w:rsidR="00D950E2" w:rsidRPr="00927A84">
        <w:rPr>
          <w:rFonts w:asciiTheme="minorHAnsi" w:hAnsiTheme="minorHAnsi" w:cstheme="minorHAnsi"/>
          <w:color w:val="FF0000"/>
        </w:rPr>
        <w:t xml:space="preserve">taking </w:t>
      </w:r>
      <w:r w:rsidR="00072C43" w:rsidRPr="00927A84">
        <w:rPr>
          <w:rFonts w:asciiTheme="minorHAnsi" w:hAnsiTheme="minorHAnsi" w:cstheme="minorHAnsi"/>
          <w:color w:val="FF0000"/>
        </w:rPr>
        <w:t>into conside</w:t>
      </w:r>
      <w:r w:rsidR="001F140C" w:rsidRPr="00927A84">
        <w:rPr>
          <w:rFonts w:asciiTheme="minorHAnsi" w:hAnsiTheme="minorHAnsi" w:cstheme="minorHAnsi"/>
          <w:color w:val="FF0000"/>
        </w:rPr>
        <w:t xml:space="preserve">ration the </w:t>
      </w:r>
      <w:r w:rsidR="00CA4D8C" w:rsidRPr="00927A84">
        <w:rPr>
          <w:rFonts w:asciiTheme="minorHAnsi" w:hAnsiTheme="minorHAnsi" w:cstheme="minorHAnsi"/>
          <w:color w:val="FF0000"/>
        </w:rPr>
        <w:t xml:space="preserve">types and capacities of cranes </w:t>
      </w:r>
      <w:r w:rsidR="001F140C" w:rsidRPr="00927A84">
        <w:rPr>
          <w:rFonts w:asciiTheme="minorHAnsi" w:hAnsiTheme="minorHAnsi" w:cstheme="minorHAnsi"/>
          <w:color w:val="FF0000"/>
        </w:rPr>
        <w:t xml:space="preserve">required </w:t>
      </w:r>
      <w:r w:rsidR="00CA4D8C" w:rsidRPr="00927A84">
        <w:rPr>
          <w:rFonts w:asciiTheme="minorHAnsi" w:hAnsiTheme="minorHAnsi" w:cstheme="minorHAnsi"/>
          <w:color w:val="FF0000"/>
        </w:rPr>
        <w:t xml:space="preserve">for all </w:t>
      </w:r>
      <w:r w:rsidR="00927A84">
        <w:rPr>
          <w:rFonts w:asciiTheme="minorHAnsi" w:hAnsiTheme="minorHAnsi" w:cstheme="minorHAnsi"/>
          <w:color w:val="FF0000"/>
        </w:rPr>
        <w:t xml:space="preserve">handling and erection </w:t>
      </w:r>
      <w:r w:rsidR="00CA4D8C" w:rsidRPr="00927A84">
        <w:rPr>
          <w:rFonts w:asciiTheme="minorHAnsi" w:hAnsiTheme="minorHAnsi" w:cstheme="minorHAnsi"/>
          <w:color w:val="FF0000"/>
        </w:rPr>
        <w:t>operations</w:t>
      </w:r>
      <w:r w:rsidR="00927A84">
        <w:rPr>
          <w:rFonts w:asciiTheme="minorHAnsi" w:hAnsiTheme="minorHAnsi" w:cstheme="minorHAnsi"/>
          <w:color w:val="FF0000"/>
        </w:rPr>
        <w:t>.</w:t>
      </w:r>
    </w:p>
    <w:p w:rsidR="000E0DDD" w:rsidRPr="00927A84" w:rsidRDefault="000E0DDD" w:rsidP="000E0DDD">
      <w:pPr>
        <w:pStyle w:val="B1"/>
        <w:rPr>
          <w:rFonts w:asciiTheme="minorHAnsi" w:hAnsiTheme="minorHAnsi" w:cstheme="minorHAnsi"/>
        </w:rPr>
      </w:pPr>
    </w:p>
    <w:p w:rsidR="007344D2" w:rsidRDefault="007344D2" w:rsidP="007344D2">
      <w:pPr>
        <w:pStyle w:val="Heading3"/>
      </w:pPr>
      <w:r>
        <w:t>Add new clause</w:t>
      </w:r>
      <w:r w:rsidR="00927A84">
        <w:t>s</w:t>
      </w:r>
    </w:p>
    <w:p w:rsidR="00125A45" w:rsidRPr="00927A84" w:rsidRDefault="00125A45" w:rsidP="00125A45">
      <w:pPr>
        <w:rPr>
          <w:color w:val="FF0000"/>
        </w:rPr>
      </w:pPr>
      <w:r w:rsidRPr="00927A84">
        <w:rPr>
          <w:b/>
          <w:color w:val="FF0000"/>
        </w:rPr>
        <w:t>2.10.3.2</w:t>
      </w:r>
      <w:r w:rsidR="00846EFD" w:rsidRPr="00927A84">
        <w:rPr>
          <w:b/>
          <w:color w:val="FF0000"/>
        </w:rPr>
        <w:t xml:space="preserve"> </w:t>
      </w:r>
      <w:r w:rsidR="009A5663" w:rsidRPr="00927A84">
        <w:rPr>
          <w:color w:val="FF0000"/>
        </w:rPr>
        <w:t>The erection documentatio</w:t>
      </w:r>
      <w:r w:rsidR="0007688C" w:rsidRPr="00927A84">
        <w:rPr>
          <w:color w:val="FF0000"/>
        </w:rPr>
        <w:t xml:space="preserve">n shall include </w:t>
      </w:r>
      <w:r w:rsidRPr="00927A84">
        <w:rPr>
          <w:color w:val="FF0000"/>
        </w:rPr>
        <w:t>detailed specification</w:t>
      </w:r>
      <w:r w:rsidR="001C3E12" w:rsidRPr="00927A84">
        <w:rPr>
          <w:color w:val="FF0000"/>
        </w:rPr>
        <w:t xml:space="preserve">s for the </w:t>
      </w:r>
      <w:r w:rsidRPr="00927A84">
        <w:rPr>
          <w:color w:val="FF0000"/>
        </w:rPr>
        <w:t xml:space="preserve"> rigging system </w:t>
      </w:r>
      <w:r w:rsidR="001C3E12" w:rsidRPr="00927A84">
        <w:rPr>
          <w:color w:val="FF0000"/>
        </w:rPr>
        <w:t xml:space="preserve">required by the erection design </w:t>
      </w:r>
      <w:r w:rsidRPr="00927A84">
        <w:rPr>
          <w:color w:val="FF0000"/>
        </w:rPr>
        <w:t>including a</w:t>
      </w:r>
      <w:r w:rsidR="00927A84" w:rsidRPr="00927A84">
        <w:rPr>
          <w:color w:val="FF0000"/>
        </w:rPr>
        <w:t>n arrangement drawing</w:t>
      </w:r>
      <w:r w:rsidRPr="00927A84">
        <w:rPr>
          <w:color w:val="FF0000"/>
        </w:rPr>
        <w:t xml:space="preserve"> of the</w:t>
      </w:r>
      <w:r w:rsidR="00927A84" w:rsidRPr="00927A84">
        <w:rPr>
          <w:color w:val="FF0000"/>
        </w:rPr>
        <w:t xml:space="preserve"> required </w:t>
      </w:r>
      <w:r w:rsidRPr="00927A84">
        <w:rPr>
          <w:color w:val="FF0000"/>
        </w:rPr>
        <w:t xml:space="preserve">rigging </w:t>
      </w:r>
      <w:r w:rsidR="00927A84" w:rsidRPr="00927A84">
        <w:rPr>
          <w:color w:val="FF0000"/>
        </w:rPr>
        <w:t xml:space="preserve">configuration with </w:t>
      </w:r>
      <w:r w:rsidR="00D44AA4" w:rsidRPr="00927A84">
        <w:rPr>
          <w:color w:val="FF0000"/>
        </w:rPr>
        <w:t>the type</w:t>
      </w:r>
      <w:r w:rsidR="00927A84" w:rsidRPr="00927A84">
        <w:rPr>
          <w:color w:val="FF0000"/>
        </w:rPr>
        <w:t xml:space="preserve"> and length of slings, spreader beam and load equalisation devices, sheave arrangements and details of the specified </w:t>
      </w:r>
      <w:r w:rsidRPr="00927A84">
        <w:rPr>
          <w:color w:val="FF0000"/>
        </w:rPr>
        <w:t>lifting inserts  and attachment devices (</w:t>
      </w:r>
      <w:proofErr w:type="spellStart"/>
      <w:r w:rsidRPr="00927A84">
        <w:rPr>
          <w:color w:val="FF0000"/>
        </w:rPr>
        <w:t>e.g.lifting</w:t>
      </w:r>
      <w:proofErr w:type="spellEnd"/>
      <w:r w:rsidRPr="00927A84">
        <w:rPr>
          <w:color w:val="FF0000"/>
        </w:rPr>
        <w:t xml:space="preserve">  clutches).</w:t>
      </w:r>
    </w:p>
    <w:p w:rsidR="00816CF8" w:rsidRPr="00927A84" w:rsidRDefault="008B4F3C">
      <w:pPr>
        <w:rPr>
          <w:color w:val="FF0000"/>
        </w:rPr>
      </w:pPr>
      <w:r w:rsidRPr="00927A84">
        <w:rPr>
          <w:b/>
          <w:color w:val="FF0000"/>
        </w:rPr>
        <w:t>4.3.1</w:t>
      </w:r>
      <w:r w:rsidR="00846EFD" w:rsidRPr="00927A84">
        <w:rPr>
          <w:b/>
          <w:color w:val="FF0000"/>
        </w:rPr>
        <w:t xml:space="preserve"> </w:t>
      </w:r>
      <w:r w:rsidR="002C5A52" w:rsidRPr="00927A84">
        <w:rPr>
          <w:color w:val="FF0000"/>
        </w:rPr>
        <w:t>Where erection requires mid air rotation</w:t>
      </w:r>
      <w:r w:rsidR="00202615" w:rsidRPr="00927A84">
        <w:rPr>
          <w:color w:val="FF0000"/>
        </w:rPr>
        <w:t xml:space="preserve"> of elements </w:t>
      </w:r>
      <w:r w:rsidR="00520312" w:rsidRPr="00927A84">
        <w:rPr>
          <w:color w:val="FF0000"/>
        </w:rPr>
        <w:t>refer fig 2.6 by a single crane fitted with two hoists</w:t>
      </w:r>
      <w:proofErr w:type="gramStart"/>
      <w:r w:rsidR="00520312" w:rsidRPr="00927A84">
        <w:rPr>
          <w:color w:val="FF0000"/>
        </w:rPr>
        <w:t xml:space="preserve">, </w:t>
      </w:r>
      <w:r w:rsidR="00137460" w:rsidRPr="00927A84">
        <w:rPr>
          <w:color w:val="FF0000"/>
        </w:rPr>
        <w:t xml:space="preserve"> </w:t>
      </w:r>
      <w:r w:rsidR="0041773C" w:rsidRPr="00927A84">
        <w:rPr>
          <w:color w:val="FF0000"/>
        </w:rPr>
        <w:t>the</w:t>
      </w:r>
      <w:proofErr w:type="gramEnd"/>
      <w:r w:rsidR="0041773C" w:rsidRPr="00927A84">
        <w:rPr>
          <w:color w:val="FF0000"/>
        </w:rPr>
        <w:t xml:space="preserve"> capacity of the crane shall be suffi</w:t>
      </w:r>
      <w:r w:rsidR="00BD75A3" w:rsidRPr="00927A84">
        <w:rPr>
          <w:color w:val="FF0000"/>
        </w:rPr>
        <w:t>cie</w:t>
      </w:r>
      <w:r w:rsidR="0015584A" w:rsidRPr="00927A84">
        <w:rPr>
          <w:color w:val="FF0000"/>
        </w:rPr>
        <w:t xml:space="preserve">nt to lift the full load by </w:t>
      </w:r>
      <w:r w:rsidR="004A538C" w:rsidRPr="00927A84">
        <w:rPr>
          <w:color w:val="FF0000"/>
        </w:rPr>
        <w:t>each hoist</w:t>
      </w:r>
      <w:r w:rsidR="00816CF8" w:rsidRPr="00927A84">
        <w:rPr>
          <w:color w:val="FF0000"/>
        </w:rPr>
        <w:t>.</w:t>
      </w:r>
    </w:p>
    <w:p w:rsidR="00EC6A50" w:rsidRPr="00927A84" w:rsidRDefault="00BD75A3">
      <w:pPr>
        <w:rPr>
          <w:color w:val="FF0000"/>
        </w:rPr>
      </w:pPr>
      <w:r w:rsidRPr="00927A84">
        <w:rPr>
          <w:b/>
          <w:color w:val="FF0000"/>
        </w:rPr>
        <w:t xml:space="preserve"> </w:t>
      </w:r>
      <w:r w:rsidR="00EC6A50" w:rsidRPr="00927A84">
        <w:rPr>
          <w:b/>
          <w:color w:val="FF0000"/>
        </w:rPr>
        <w:t>4.4.2</w:t>
      </w:r>
      <w:r w:rsidR="00846EFD" w:rsidRPr="00927A84">
        <w:rPr>
          <w:b/>
          <w:color w:val="FF0000"/>
        </w:rPr>
        <w:t xml:space="preserve"> </w:t>
      </w:r>
      <w:r w:rsidR="00EC6A50" w:rsidRPr="00927A84">
        <w:rPr>
          <w:color w:val="FF0000"/>
        </w:rPr>
        <w:t xml:space="preserve">Ensure that the </w:t>
      </w:r>
      <w:r w:rsidR="002F6DAA" w:rsidRPr="00927A84">
        <w:rPr>
          <w:color w:val="FF0000"/>
        </w:rPr>
        <w:t>rigging</w:t>
      </w:r>
      <w:r w:rsidR="00927A84" w:rsidRPr="00927A84">
        <w:rPr>
          <w:color w:val="FF0000"/>
        </w:rPr>
        <w:t xml:space="preserve"> system</w:t>
      </w:r>
      <w:r w:rsidR="002F6DAA" w:rsidRPr="00927A84">
        <w:rPr>
          <w:color w:val="FF0000"/>
        </w:rPr>
        <w:t xml:space="preserve"> is in accordance with the rigging details in the erection documentat</w:t>
      </w:r>
      <w:r w:rsidR="0077704C" w:rsidRPr="00927A84">
        <w:rPr>
          <w:color w:val="FF0000"/>
        </w:rPr>
        <w:t>ion</w:t>
      </w:r>
      <w:r w:rsidR="00927A84" w:rsidRPr="00927A84">
        <w:rPr>
          <w:color w:val="FF0000"/>
        </w:rPr>
        <w:t xml:space="preserve"> (see Appendix A)</w:t>
      </w:r>
      <w:r w:rsidR="0077704C" w:rsidRPr="00927A84">
        <w:rPr>
          <w:color w:val="FF0000"/>
        </w:rPr>
        <w:t>.</w:t>
      </w:r>
    </w:p>
    <w:p w:rsidR="00927A84" w:rsidRPr="000E0DDD" w:rsidRDefault="00927A84" w:rsidP="00927A84">
      <w:pPr>
        <w:pStyle w:val="Heading3"/>
        <w:rPr>
          <w:color w:val="FF0000"/>
        </w:rPr>
      </w:pPr>
      <w:r>
        <w:rPr>
          <w:color w:val="2E74B5" w:themeColor="accent1" w:themeShade="BF"/>
        </w:rPr>
        <w:t>C2.10 (b) remove this clause which is replaced by 2.10.3.2</w:t>
      </w:r>
    </w:p>
    <w:p w:rsidR="00D44AA4" w:rsidRDefault="00D44AA4">
      <w:pPr>
        <w:spacing w:before="0" w:after="160" w:line="259" w:lineRule="auto"/>
      </w:pPr>
      <w:r>
        <w:br w:type="page"/>
      </w:r>
    </w:p>
    <w:p w:rsidR="00C27A73" w:rsidRDefault="001C5A3A" w:rsidP="00D44AA4">
      <w:pPr>
        <w:pStyle w:val="Heading2"/>
      </w:pPr>
      <w:r>
        <w:lastRenderedPageBreak/>
        <w:t xml:space="preserve">Revise </w:t>
      </w:r>
      <w:r w:rsidR="00C27A73">
        <w:t>Appendix A</w:t>
      </w:r>
    </w:p>
    <w:p w:rsidR="008469A3" w:rsidRPr="005F3D7B" w:rsidRDefault="005F3D7B" w:rsidP="008469A3">
      <w:pPr>
        <w:rPr>
          <w:color w:val="FF0000"/>
        </w:rPr>
      </w:pPr>
      <w:proofErr w:type="spellStart"/>
      <w:r w:rsidRPr="005F3D7B">
        <w:rPr>
          <w:color w:val="FF0000"/>
        </w:rPr>
        <w:t>Revisons</w:t>
      </w:r>
      <w:proofErr w:type="spellEnd"/>
      <w:r w:rsidRPr="005F3D7B">
        <w:rPr>
          <w:color w:val="FF0000"/>
        </w:rPr>
        <w:t xml:space="preserve"> shown in red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8"/>
        <w:gridCol w:w="1701"/>
        <w:gridCol w:w="1929"/>
        <w:gridCol w:w="1328"/>
      </w:tblGrid>
      <w:tr w:rsidR="008469A3" w:rsidRPr="008469A3" w:rsidTr="001C5A3A">
        <w:tc>
          <w:tcPr>
            <w:tcW w:w="2656" w:type="pct"/>
            <w:vMerge w:val="restart"/>
            <w:shd w:val="clear" w:color="auto" w:fill="auto"/>
            <w:vAlign w:val="center"/>
          </w:tcPr>
          <w:p w:rsidR="008469A3" w:rsidRPr="008469A3" w:rsidRDefault="008469A3" w:rsidP="008469A3">
            <w:pPr>
              <w:rPr>
                <w:b/>
              </w:rPr>
            </w:pPr>
            <w:r w:rsidRPr="008469A3">
              <w:rPr>
                <w:b/>
              </w:rPr>
              <w:t>Required information</w:t>
            </w:r>
            <w:r w:rsidRPr="008469A3">
              <w:rPr>
                <w:b/>
                <w:vertAlign w:val="superscript"/>
              </w:rPr>
              <w:t>1</w:t>
            </w: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:rsidR="008469A3" w:rsidRPr="008469A3" w:rsidRDefault="008469A3" w:rsidP="008469A3">
            <w:pPr>
              <w:rPr>
                <w:b/>
              </w:rPr>
            </w:pPr>
            <w:r w:rsidRPr="008469A3">
              <w:rPr>
                <w:b/>
              </w:rPr>
              <w:t>Drawings (may be combined)</w:t>
            </w:r>
          </w:p>
        </w:tc>
      </w:tr>
      <w:tr w:rsidR="008469A3" w:rsidRPr="008469A3" w:rsidTr="001C5A3A">
        <w:tc>
          <w:tcPr>
            <w:tcW w:w="2656" w:type="pct"/>
            <w:vMerge/>
            <w:shd w:val="clear" w:color="auto" w:fill="auto"/>
            <w:vAlign w:val="center"/>
          </w:tcPr>
          <w:p w:rsidR="008469A3" w:rsidRPr="008469A3" w:rsidRDefault="008469A3" w:rsidP="008469A3">
            <w:pPr>
              <w:rPr>
                <w:b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Structural layout plans(Note</w:t>
            </w:r>
            <w:r w:rsidRPr="008469A3">
              <w:rPr>
                <w:vertAlign w:val="superscript"/>
              </w:rPr>
              <w:t xml:space="preserve"> </w:t>
            </w:r>
            <w:r w:rsidRPr="008469A3">
              <w:t>2)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Manufacture (shop)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Erection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Date and issue number of the drawing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Project location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Plans and elevations clearly indicating the structural framing and location and orientation of each element on a layout (marking) plan</w:t>
            </w:r>
            <w:r w:rsidR="006952DB">
              <w:t xml:space="preserve">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Structurally critical dimensions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rPr>
          <w:trHeight w:val="862"/>
        </w:trPr>
        <w:tc>
          <w:tcPr>
            <w:tcW w:w="2656" w:type="pct"/>
            <w:shd w:val="clear" w:color="auto" w:fill="auto"/>
          </w:tcPr>
          <w:p w:rsidR="008469A3" w:rsidRPr="008469A3" w:rsidRDefault="008469A3" w:rsidP="006952DB">
            <w:r w:rsidRPr="008469A3">
              <w:t>Erection sequence</w:t>
            </w:r>
            <w:r w:rsidR="006952DB">
              <w:t xml:space="preserve"> </w:t>
            </w:r>
            <w:r w:rsidR="006952DB" w:rsidRPr="00D44AA4">
              <w:rPr>
                <w:color w:val="FF0000"/>
              </w:rPr>
              <w:t>including the order of loading, delivery, unloading, stacking and erection</w:t>
            </w:r>
            <w:r w:rsidR="006952DB">
              <w:rPr>
                <w:color w:val="FF0000"/>
              </w:rPr>
              <w:t xml:space="preserve"> of each element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6952DB" w:rsidRDefault="008469A3" w:rsidP="006952DB">
            <w:r w:rsidRPr="008469A3">
              <w:t xml:space="preserve">Minimum crane </w:t>
            </w:r>
            <w:proofErr w:type="gramStart"/>
            <w:r w:rsidRPr="008469A3">
              <w:t>capacities</w:t>
            </w:r>
            <w:r w:rsidRPr="008469A3">
              <w:rPr>
                <w:vertAlign w:val="superscript"/>
              </w:rPr>
              <w:t>3</w:t>
            </w:r>
            <w:r w:rsidR="006952DB">
              <w:rPr>
                <w:vertAlign w:val="superscript"/>
              </w:rPr>
              <w:t xml:space="preserve"> </w:t>
            </w:r>
            <w:r w:rsidR="006952DB">
              <w:t xml:space="preserve"> </w:t>
            </w:r>
            <w:r w:rsidR="006952DB" w:rsidRPr="006952DB">
              <w:rPr>
                <w:color w:val="FF0000"/>
              </w:rPr>
              <w:t>and</w:t>
            </w:r>
            <w:proofErr w:type="gramEnd"/>
            <w:r w:rsidR="006952DB" w:rsidRPr="006952DB">
              <w:rPr>
                <w:color w:val="FF0000"/>
              </w:rPr>
              <w:t xml:space="preserve"> any special crane requirements including requirements for erection requiring mid-air rotation or multi-crane operations.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6952DB" w:rsidRDefault="008469A3" w:rsidP="001C5A3A">
            <w:r w:rsidRPr="008469A3">
              <w:t xml:space="preserve">Crane </w:t>
            </w:r>
            <w:proofErr w:type="gramStart"/>
            <w:r w:rsidRPr="008469A3">
              <w:t>position</w:t>
            </w:r>
            <w:r w:rsidRPr="008469A3">
              <w:rPr>
                <w:vertAlign w:val="superscript"/>
              </w:rPr>
              <w:t>3</w:t>
            </w:r>
            <w:r w:rsidR="006952DB">
              <w:rPr>
                <w:vertAlign w:val="superscript"/>
              </w:rPr>
              <w:t xml:space="preserve"> </w:t>
            </w:r>
            <w:r w:rsidR="006952DB">
              <w:t>)</w:t>
            </w:r>
            <w:proofErr w:type="gramEnd"/>
            <w:r w:rsidR="006952DB">
              <w:t xml:space="preserve"> </w:t>
            </w:r>
            <w:r w:rsidR="006952DB" w:rsidRPr="008469A3">
              <w:rPr>
                <w:color w:val="FF0000"/>
              </w:rPr>
              <w:t xml:space="preserve">and details of the site for setup and dismantling of the crane with details providing proximity to powerlines, adjacent excavations and other special requirements.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Truck and crane access</w:t>
            </w:r>
            <w:r w:rsidR="006952DB">
              <w:t xml:space="preserve"> </w:t>
            </w:r>
            <w:r w:rsidR="006952DB" w:rsidRPr="006952DB">
              <w:rPr>
                <w:color w:val="FF0000"/>
              </w:rPr>
              <w:t>and</w:t>
            </w:r>
            <w:r w:rsidR="006952DB">
              <w:t xml:space="preserve"> </w:t>
            </w:r>
            <w:r w:rsidR="006952DB" w:rsidRPr="006952DB">
              <w:rPr>
                <w:color w:val="FF0000"/>
              </w:rPr>
              <w:t>exclusion zones for all construction operations.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Position of any critical supports required for the erection of the elements (e.g. support walls, columns and beams)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Details of any support requirements for the delivery and construction vehicles and cranes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lastRenderedPageBreak/>
              <w:t>Element reinforcement required for in-service loadings and conditions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Framing connection locations and required type (e.g. cast-in) and the capacity of fixing inserts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Levelling pad details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 xml:space="preserve">Structural design criteria affecting construction </w:t>
            </w:r>
            <w:r w:rsidRPr="008469A3">
              <w:br/>
              <w:t>(e.g. composite flooring systems)—this might include loads from temporary bracing that is to be transmitted to any prefabricated concrete elements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The concrete specification, including all special requirements to meet in-service loadings and conditions, and the minimum cover to reinforcing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tcBorders>
              <w:bottom w:val="single" w:sz="6" w:space="0" w:color="auto"/>
            </w:tcBorders>
            <w:shd w:val="clear" w:color="auto" w:fill="auto"/>
          </w:tcPr>
          <w:p w:rsidR="008469A3" w:rsidRPr="008469A3" w:rsidRDefault="008469A3" w:rsidP="008469A3">
            <w:r w:rsidRPr="008469A3">
              <w:t>Base connection details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469A3" w:rsidRPr="008469A3" w:rsidRDefault="008469A3" w:rsidP="008469A3">
            <w:r w:rsidRPr="008469A3">
              <w:t>Making base connection (i.e. grouting dowels)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9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Element number for each element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The mass of each element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Element dimensions and centre of gravity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tcBorders>
              <w:top w:val="nil"/>
            </w:tcBorders>
            <w:shd w:val="clear" w:color="auto" w:fill="auto"/>
          </w:tcPr>
          <w:p w:rsidR="008469A3" w:rsidRPr="008469A3" w:rsidRDefault="008469A3" w:rsidP="008469A3">
            <w:r w:rsidRPr="008469A3">
              <w:t>The location, orientation, type, make, capacity and technical specifications of lifting inserts</w:t>
            </w:r>
          </w:p>
        </w:tc>
        <w:tc>
          <w:tcPr>
            <w:tcW w:w="804" w:type="pct"/>
            <w:tcBorders>
              <w:top w:val="nil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tcBorders>
              <w:top w:val="nil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The location, orientation, type, make, capacity and technical specifications of temporary props, frames and braces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The location, orientation, type, make, capacity and technical specifications of required secondary supports, including knee braces and lateral restraints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 xml:space="preserve">The location, orientation, type, make, capacity and technical specifications of temporary support (e.g. bracing, props, frames or brackets) fixing inserts cast </w:t>
            </w:r>
            <w:r w:rsidRPr="008469A3">
              <w:lastRenderedPageBreak/>
              <w:t>into the element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lastRenderedPageBreak/>
              <w:t xml:space="preserve">The location, orientation, type, make, capacity and technical specifications of temporary support fixing inserts (e.g. to bracing, props, frames or brackets) where the fixing is made on site to a non-precast element (i.e. a </w:t>
            </w:r>
            <w:proofErr w:type="spellStart"/>
            <w:r w:rsidRPr="008469A3">
              <w:t>deadman</w:t>
            </w:r>
            <w:proofErr w:type="spellEnd"/>
            <w:r w:rsidRPr="008469A3">
              <w:t>)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 xml:space="preserve">The location, orientation, type, make, capacity and technical specifications of cast in inserts for </w:t>
            </w:r>
            <w:proofErr w:type="spellStart"/>
            <w:r w:rsidRPr="008469A3">
              <w:t>strongbacks</w:t>
            </w:r>
            <w:proofErr w:type="spellEnd"/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 xml:space="preserve">Detailed manufacture (shop) drawings of any brace, prop, bracket or </w:t>
            </w:r>
            <w:proofErr w:type="spellStart"/>
            <w:r w:rsidRPr="008469A3">
              <w:t>strongback</w:t>
            </w:r>
            <w:proofErr w:type="spellEnd"/>
            <w:r w:rsidRPr="008469A3">
              <w:t xml:space="preserve"> manufactured for the specific project (i.e. not a hire item) (Note 3)</w:t>
            </w:r>
          </w:p>
          <w:p w:rsidR="008469A3" w:rsidRPr="008469A3" w:rsidRDefault="008469A3" w:rsidP="008469A3">
            <w:r w:rsidRPr="008469A3">
              <w:t>NOTE</w:t>
            </w:r>
            <w:proofErr w:type="gramStart"/>
            <w:r w:rsidRPr="008469A3">
              <w:t>:.</w:t>
            </w:r>
            <w:proofErr w:type="gramEnd"/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 xml:space="preserve">Indication of elements requiring the attachment of </w:t>
            </w:r>
            <w:proofErr w:type="spellStart"/>
            <w:r w:rsidRPr="008469A3">
              <w:t>strongbacks</w:t>
            </w:r>
            <w:proofErr w:type="spellEnd"/>
            <w:r w:rsidRPr="008469A3">
              <w:t xml:space="preserve"> for transportation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 xml:space="preserve">Indication of elements requiring the attachment of </w:t>
            </w:r>
            <w:proofErr w:type="spellStart"/>
            <w:r w:rsidRPr="008469A3">
              <w:t>strongbacks</w:t>
            </w:r>
            <w:proofErr w:type="spellEnd"/>
            <w:r w:rsidRPr="008469A3">
              <w:t xml:space="preserve"> for erection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The configuration and cover of any component reinforcement that is required for controlling loads imposed during transport, lifting and erection of temporary supports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The size, configuration and cover of any additional reinforcement required for the transport and lifting of the element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tcBorders>
              <w:bottom w:val="single" w:sz="6" w:space="0" w:color="auto"/>
            </w:tcBorders>
            <w:shd w:val="clear" w:color="auto" w:fill="auto"/>
          </w:tcPr>
          <w:p w:rsidR="008469A3" w:rsidRPr="008469A3" w:rsidRDefault="008469A3" w:rsidP="008469A3">
            <w:r w:rsidRPr="008469A3">
              <w:t>The requirements for temporary support footings, if cast off site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469A3" w:rsidRPr="008469A3" w:rsidRDefault="008469A3" w:rsidP="008469A3">
            <w:r w:rsidRPr="008469A3">
              <w:t>The requirements for temporary support footings, if cast on site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The concrete specification of the elements, minimum concrete strength for lifting, handling and the connection of temporary supports during erection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lastRenderedPageBreak/>
              <w:t xml:space="preserve">Concrete strength of the footings and temporary support elements (e.g. </w:t>
            </w:r>
            <w:proofErr w:type="spellStart"/>
            <w:r w:rsidRPr="008469A3">
              <w:t>deadmen</w:t>
            </w:r>
            <w:proofErr w:type="spellEnd"/>
            <w:r w:rsidRPr="008469A3">
              <w:t>) required at the time of erection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Surface finish of each element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8469A3">
            <w:r w:rsidRPr="008469A3">
              <w:t>Special tolerance limits for the element if required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1C5A3A">
            <w:r w:rsidRPr="008469A3">
              <w:t>Rigging details for handling prior to delivery</w:t>
            </w:r>
            <w:r w:rsidR="006952DB">
              <w:t xml:space="preserve"> </w:t>
            </w:r>
            <w:r w:rsidR="006952DB" w:rsidRPr="008469A3">
              <w:rPr>
                <w:color w:val="FF0000"/>
              </w:rPr>
              <w:t>with a diagram of the rigging arrangement showing required load equalising devices and specifications of the lifting inserts  and attachment devices (</w:t>
            </w:r>
            <w:proofErr w:type="spellStart"/>
            <w:r w:rsidR="006952DB" w:rsidRPr="008469A3">
              <w:rPr>
                <w:color w:val="FF0000"/>
              </w:rPr>
              <w:t>e.g.lifting</w:t>
            </w:r>
            <w:proofErr w:type="spellEnd"/>
            <w:r w:rsidR="006952DB" w:rsidRPr="008469A3">
              <w:rPr>
                <w:color w:val="FF0000"/>
              </w:rPr>
              <w:t xml:space="preserve">  clutches).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</w:tr>
      <w:tr w:rsidR="008469A3" w:rsidRPr="008469A3" w:rsidTr="001C5A3A">
        <w:tc>
          <w:tcPr>
            <w:tcW w:w="2656" w:type="pct"/>
            <w:shd w:val="clear" w:color="auto" w:fill="auto"/>
          </w:tcPr>
          <w:p w:rsidR="008469A3" w:rsidRPr="008469A3" w:rsidRDefault="008469A3" w:rsidP="006952DB">
            <w:r w:rsidRPr="008469A3">
              <w:t xml:space="preserve">Rigging details for </w:t>
            </w:r>
            <w:r w:rsidR="006952DB" w:rsidRPr="006952DB">
              <w:rPr>
                <w:color w:val="FF0000"/>
              </w:rPr>
              <w:t>delivery, unloading</w:t>
            </w:r>
            <w:r w:rsidR="005F3D7B">
              <w:rPr>
                <w:color w:val="FF0000"/>
              </w:rPr>
              <w:t>,</w:t>
            </w:r>
            <w:r w:rsidR="006952DB" w:rsidRPr="006952DB">
              <w:rPr>
                <w:color w:val="FF0000"/>
              </w:rPr>
              <w:t xml:space="preserve"> </w:t>
            </w:r>
            <w:r w:rsidRPr="006952DB">
              <w:rPr>
                <w:color w:val="FF0000"/>
              </w:rPr>
              <w:t>handling and erection</w:t>
            </w:r>
            <w:r w:rsidR="006952DB" w:rsidRPr="006952DB">
              <w:rPr>
                <w:color w:val="FF0000"/>
              </w:rPr>
              <w:t xml:space="preserve"> with a </w:t>
            </w:r>
            <w:r w:rsidR="006952DB" w:rsidRPr="008469A3">
              <w:rPr>
                <w:color w:val="FF0000"/>
              </w:rPr>
              <w:t xml:space="preserve">diagram of the rigging arrangement </w:t>
            </w:r>
            <w:r w:rsidR="006952DB">
              <w:rPr>
                <w:color w:val="FF0000"/>
              </w:rPr>
              <w:t xml:space="preserve">for each required operation </w:t>
            </w:r>
            <w:r w:rsidR="006952DB" w:rsidRPr="008469A3">
              <w:rPr>
                <w:color w:val="FF0000"/>
              </w:rPr>
              <w:t>showing required load equalising devices and specifications of the lifting inserts  and attachment devices (</w:t>
            </w:r>
            <w:proofErr w:type="spellStart"/>
            <w:r w:rsidR="006952DB" w:rsidRPr="008469A3">
              <w:rPr>
                <w:color w:val="FF0000"/>
              </w:rPr>
              <w:t>e.g.lifting</w:t>
            </w:r>
            <w:proofErr w:type="spellEnd"/>
            <w:r w:rsidR="006952DB" w:rsidRPr="008469A3">
              <w:rPr>
                <w:color w:val="FF0000"/>
              </w:rPr>
              <w:t xml:space="preserve">  clutches).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</w:t>
            </w:r>
          </w:p>
        </w:tc>
      </w:tr>
      <w:tr w:rsidR="008469A3" w:rsidRPr="008469A3" w:rsidTr="001C5A3A">
        <w:tc>
          <w:tcPr>
            <w:tcW w:w="2656" w:type="pct"/>
            <w:tcBorders>
              <w:bottom w:val="single" w:sz="12" w:space="0" w:color="auto"/>
            </w:tcBorders>
            <w:shd w:val="clear" w:color="auto" w:fill="auto"/>
          </w:tcPr>
          <w:p w:rsidR="008469A3" w:rsidRPr="008469A3" w:rsidRDefault="008469A3" w:rsidP="008469A3">
            <w:r w:rsidRPr="008469A3">
              <w:t>The maximum value of the initial lift load, including an allowance for suction when lifting off the casting beds (Note 5)</w:t>
            </w:r>
          </w:p>
          <w:p w:rsidR="008469A3" w:rsidRPr="008469A3" w:rsidRDefault="008469A3" w:rsidP="008469A3"/>
          <w:p w:rsidR="008469A3" w:rsidRPr="008469A3" w:rsidRDefault="008469A3" w:rsidP="008469A3"/>
        </w:tc>
        <w:tc>
          <w:tcPr>
            <w:tcW w:w="8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</w:p>
        </w:tc>
        <w:tc>
          <w:tcPr>
            <w:tcW w:w="9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 (in factory lifting)</w:t>
            </w:r>
          </w:p>
        </w:tc>
        <w:tc>
          <w:tcPr>
            <w:tcW w:w="6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69A3" w:rsidRPr="008469A3" w:rsidRDefault="008469A3" w:rsidP="001C5A3A">
            <w:pPr>
              <w:jc w:val="center"/>
            </w:pPr>
            <w:r w:rsidRPr="008469A3">
              <w:t>Y (on-site lifting)</w:t>
            </w:r>
          </w:p>
        </w:tc>
      </w:tr>
      <w:tr w:rsidR="008469A3" w:rsidRPr="008469A3" w:rsidTr="001C5A3A">
        <w:tc>
          <w:tcPr>
            <w:tcW w:w="5000" w:type="pct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469A3" w:rsidRPr="008469A3" w:rsidRDefault="008469A3" w:rsidP="008469A3">
            <w:r w:rsidRPr="008469A3">
              <w:t> </w:t>
            </w:r>
          </w:p>
          <w:p w:rsidR="008469A3" w:rsidRPr="008469A3" w:rsidRDefault="008469A3" w:rsidP="008469A3">
            <w:pPr>
              <w:tabs>
                <w:tab w:val="num" w:pos="333"/>
              </w:tabs>
            </w:pPr>
          </w:p>
        </w:tc>
      </w:tr>
    </w:tbl>
    <w:p w:rsidR="00D44AA4" w:rsidRDefault="00D44AA4" w:rsidP="00D44AA4"/>
    <w:p w:rsidR="00D44AA4" w:rsidRPr="00D44AA4" w:rsidRDefault="00D44AA4"/>
    <w:p w:rsidR="00BE26B1" w:rsidRDefault="00BE26B1"/>
    <w:sectPr w:rsidR="00BE26B1" w:rsidSect="001C5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C53963"/>
    <w:rsid w:val="0007101F"/>
    <w:rsid w:val="00072C43"/>
    <w:rsid w:val="00075A59"/>
    <w:rsid w:val="0007688C"/>
    <w:rsid w:val="0008770E"/>
    <w:rsid w:val="000D4874"/>
    <w:rsid w:val="000E0DDD"/>
    <w:rsid w:val="001146EE"/>
    <w:rsid w:val="00117A30"/>
    <w:rsid w:val="00125A45"/>
    <w:rsid w:val="00137460"/>
    <w:rsid w:val="00140603"/>
    <w:rsid w:val="0015095F"/>
    <w:rsid w:val="0015584A"/>
    <w:rsid w:val="001729DF"/>
    <w:rsid w:val="00195ADF"/>
    <w:rsid w:val="001C3E12"/>
    <w:rsid w:val="001C5A3A"/>
    <w:rsid w:val="001D4FD1"/>
    <w:rsid w:val="001F140C"/>
    <w:rsid w:val="001F170C"/>
    <w:rsid w:val="00202615"/>
    <w:rsid w:val="00271BEC"/>
    <w:rsid w:val="0029175C"/>
    <w:rsid w:val="002938CD"/>
    <w:rsid w:val="002A1F78"/>
    <w:rsid w:val="002B0D7D"/>
    <w:rsid w:val="002B4C8F"/>
    <w:rsid w:val="002B58DB"/>
    <w:rsid w:val="002B64B1"/>
    <w:rsid w:val="002C5A52"/>
    <w:rsid w:val="002D4824"/>
    <w:rsid w:val="002E5722"/>
    <w:rsid w:val="002F6DAA"/>
    <w:rsid w:val="00314537"/>
    <w:rsid w:val="00321E7F"/>
    <w:rsid w:val="00333FF9"/>
    <w:rsid w:val="00341525"/>
    <w:rsid w:val="003C3593"/>
    <w:rsid w:val="003E1878"/>
    <w:rsid w:val="0041773C"/>
    <w:rsid w:val="004967B5"/>
    <w:rsid w:val="004A538C"/>
    <w:rsid w:val="004C3A11"/>
    <w:rsid w:val="004F3C7C"/>
    <w:rsid w:val="00500F56"/>
    <w:rsid w:val="00520312"/>
    <w:rsid w:val="0053092E"/>
    <w:rsid w:val="005669CD"/>
    <w:rsid w:val="005B48E3"/>
    <w:rsid w:val="005B52B1"/>
    <w:rsid w:val="005F3D7B"/>
    <w:rsid w:val="00602A29"/>
    <w:rsid w:val="00602BDB"/>
    <w:rsid w:val="00604A96"/>
    <w:rsid w:val="00627068"/>
    <w:rsid w:val="006276DE"/>
    <w:rsid w:val="0068703A"/>
    <w:rsid w:val="006924D8"/>
    <w:rsid w:val="006952DB"/>
    <w:rsid w:val="006B78FE"/>
    <w:rsid w:val="006F19AB"/>
    <w:rsid w:val="00707D40"/>
    <w:rsid w:val="007344D2"/>
    <w:rsid w:val="00765DAD"/>
    <w:rsid w:val="00772B2A"/>
    <w:rsid w:val="0077704C"/>
    <w:rsid w:val="00777A2F"/>
    <w:rsid w:val="007836B1"/>
    <w:rsid w:val="00785847"/>
    <w:rsid w:val="007A1257"/>
    <w:rsid w:val="007A2A58"/>
    <w:rsid w:val="00804083"/>
    <w:rsid w:val="00816CF8"/>
    <w:rsid w:val="008256B0"/>
    <w:rsid w:val="008303E5"/>
    <w:rsid w:val="00840C6D"/>
    <w:rsid w:val="008469A3"/>
    <w:rsid w:val="00846EFD"/>
    <w:rsid w:val="008569A0"/>
    <w:rsid w:val="00872E9B"/>
    <w:rsid w:val="008B4F3C"/>
    <w:rsid w:val="008F2A49"/>
    <w:rsid w:val="008F7AA4"/>
    <w:rsid w:val="00901506"/>
    <w:rsid w:val="00927A84"/>
    <w:rsid w:val="009314C6"/>
    <w:rsid w:val="00952C28"/>
    <w:rsid w:val="00967D81"/>
    <w:rsid w:val="009A1152"/>
    <w:rsid w:val="009A1186"/>
    <w:rsid w:val="009A3362"/>
    <w:rsid w:val="009A5663"/>
    <w:rsid w:val="009C095C"/>
    <w:rsid w:val="009E567F"/>
    <w:rsid w:val="009F7AF6"/>
    <w:rsid w:val="00A54A5E"/>
    <w:rsid w:val="00A948D4"/>
    <w:rsid w:val="00A965BB"/>
    <w:rsid w:val="00AB7D96"/>
    <w:rsid w:val="00AD44EF"/>
    <w:rsid w:val="00AE3BCC"/>
    <w:rsid w:val="00B03C39"/>
    <w:rsid w:val="00B109E9"/>
    <w:rsid w:val="00B1188D"/>
    <w:rsid w:val="00B20C2B"/>
    <w:rsid w:val="00B2449B"/>
    <w:rsid w:val="00B54110"/>
    <w:rsid w:val="00B91277"/>
    <w:rsid w:val="00BB316E"/>
    <w:rsid w:val="00BD75A3"/>
    <w:rsid w:val="00BD7B36"/>
    <w:rsid w:val="00BE26B1"/>
    <w:rsid w:val="00C155E5"/>
    <w:rsid w:val="00C264C8"/>
    <w:rsid w:val="00C273E3"/>
    <w:rsid w:val="00C27A73"/>
    <w:rsid w:val="00C53963"/>
    <w:rsid w:val="00C679CB"/>
    <w:rsid w:val="00CA4D8C"/>
    <w:rsid w:val="00CA5357"/>
    <w:rsid w:val="00CB34B1"/>
    <w:rsid w:val="00CC3770"/>
    <w:rsid w:val="00CD13B8"/>
    <w:rsid w:val="00CE6798"/>
    <w:rsid w:val="00D1490C"/>
    <w:rsid w:val="00D3318C"/>
    <w:rsid w:val="00D44AA4"/>
    <w:rsid w:val="00D4720B"/>
    <w:rsid w:val="00D6584B"/>
    <w:rsid w:val="00D8510D"/>
    <w:rsid w:val="00D950E2"/>
    <w:rsid w:val="00DB0187"/>
    <w:rsid w:val="00DB18F4"/>
    <w:rsid w:val="00DB363C"/>
    <w:rsid w:val="00E034D3"/>
    <w:rsid w:val="00E1385F"/>
    <w:rsid w:val="00E6626A"/>
    <w:rsid w:val="00EC33DD"/>
    <w:rsid w:val="00EC6A50"/>
    <w:rsid w:val="00ED30BA"/>
    <w:rsid w:val="00F229B0"/>
    <w:rsid w:val="00F50186"/>
    <w:rsid w:val="00F71BE6"/>
    <w:rsid w:val="00FA754D"/>
    <w:rsid w:val="00FC6645"/>
    <w:rsid w:val="00FE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45"/>
    <w:pPr>
      <w:spacing w:before="100" w:after="200" w:line="276" w:lineRule="auto"/>
    </w:pPr>
    <w:rPr>
      <w:rFonts w:eastAsiaTheme="minorEastAsia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4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344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344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9A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9A3"/>
    <w:rPr>
      <w:rFonts w:eastAsiaTheme="minorEastAsia"/>
      <w:sz w:val="20"/>
      <w:szCs w:val="20"/>
      <w:lang w:eastAsia="en-AU"/>
    </w:rPr>
  </w:style>
  <w:style w:type="character" w:styleId="CommentReference">
    <w:name w:val="annotation reference"/>
    <w:basedOn w:val="DefaultParagraphFont"/>
    <w:rsid w:val="008469A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A3"/>
    <w:rPr>
      <w:rFonts w:ascii="Segoe UI" w:eastAsiaTheme="minorEastAsia" w:hAnsi="Segoe UI" w:cs="Segoe UI"/>
      <w:sz w:val="18"/>
      <w:szCs w:val="18"/>
      <w:lang w:eastAsia="en-AU"/>
    </w:rPr>
  </w:style>
  <w:style w:type="paragraph" w:customStyle="1" w:styleId="B1">
    <w:name w:val="B1"/>
    <w:basedOn w:val="Normal"/>
    <w:link w:val="B1CharChar"/>
    <w:rsid w:val="000E0DDD"/>
    <w:pPr>
      <w:suppressAutoHyphens/>
      <w:spacing w:before="120" w:after="0" w:line="260" w:lineRule="exact"/>
      <w:jc w:val="both"/>
    </w:pPr>
    <w:rPr>
      <w:rFonts w:ascii="Times New Roman" w:eastAsia="Times New Roman" w:hAnsi="Times New Roman" w:cs="Times New Roman"/>
      <w:color w:val="000000"/>
      <w:spacing w:val="6"/>
      <w:sz w:val="22"/>
      <w:lang w:eastAsia="en-US"/>
    </w:rPr>
  </w:style>
  <w:style w:type="character" w:customStyle="1" w:styleId="B1CharChar">
    <w:name w:val="B1 Char Char"/>
    <w:link w:val="B1"/>
    <w:rsid w:val="000E0DDD"/>
    <w:rPr>
      <w:rFonts w:ascii="Times New Roman" w:eastAsia="Times New Roman" w:hAnsi="Times New Roman" w:cs="Times New Roman"/>
      <w:color w:val="000000"/>
      <w:spacing w:val="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2017-03-23T23:36:00Z</dcterms:created>
  <dcterms:modified xsi:type="dcterms:W3CDTF">2017-03-23T23:36:00Z</dcterms:modified>
</cp:coreProperties>
</file>